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/>
      </w:pPr>
      <w:r>
        <w:rPr>
          <w:b/>
          <w:color w:val="000000"/>
          <w:sz w:val="20"/>
          <w:szCs w:val="20"/>
        </w:rPr>
        <w:t>ORDEM DE SERVIÇO Nº 14/2020</w:t>
      </w:r>
    </w:p>
    <w:p>
      <w:pPr>
        <w:pStyle w:val="Normal"/>
        <w:widowControl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widowControl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widowControl/>
        <w:ind w:left="5102" w:hanging="0"/>
        <w:rPr/>
      </w:pPr>
      <w:r>
        <w:rPr>
          <w:b/>
          <w:color w:val="000000"/>
          <w:sz w:val="20"/>
          <w:szCs w:val="20"/>
        </w:rPr>
        <w:t>Regulamenta o funcionamento da Defensorias Públicas Especializadas em Ajuizamento (UCAA) durante o sistema diferenciado de atendimento na Defensoria Pública do Estado do Rio Grande do Sul e dá outras providências.</w:t>
      </w:r>
    </w:p>
    <w:p>
      <w:pPr>
        <w:pStyle w:val="Normal"/>
        <w:widowControl/>
        <w:ind w:left="3969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ind w:left="3969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rPr>
          <w:color w:val="000000"/>
        </w:rPr>
      </w:pPr>
      <w:r>
        <w:rPr>
          <w:color w:val="000000"/>
          <w:sz w:val="20"/>
          <w:szCs w:val="20"/>
        </w:rPr>
        <w:t xml:space="preserve">O </w:t>
      </w:r>
      <w:r>
        <w:rPr>
          <w:b/>
          <w:color w:val="000000"/>
          <w:sz w:val="20"/>
          <w:szCs w:val="20"/>
        </w:rPr>
        <w:t>DEFENSOR PÚBLICO-GERAL DO ESTADO DO RIO GRANDE DO SUL</w:t>
      </w:r>
      <w:r>
        <w:rPr>
          <w:color w:val="000000"/>
          <w:sz w:val="20"/>
          <w:szCs w:val="20"/>
        </w:rPr>
        <w:t>, no uso de suas atribuições legais, conferidas pelo artigo 100 da Lei Complementar nº 80/1994, com a redação dada pela Lei Complementar nº 132/2009, bem como das estabelecidas no artigo 120 da Constituição do Estado do Rio Grande do Sul e nos termos da Lei Complementar nº 14.130/2012;</w:t>
      </w:r>
    </w:p>
    <w:p>
      <w:pPr>
        <w:pStyle w:val="Normal"/>
        <w:widowControl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color w:val="000000"/>
          <w:sz w:val="20"/>
          <w:szCs w:val="20"/>
        </w:rPr>
        <w:t xml:space="preserve">CONSIDERANDO </w:t>
      </w:r>
      <w:r>
        <w:rPr>
          <w:color w:val="000000"/>
          <w:sz w:val="20"/>
          <w:szCs w:val="20"/>
        </w:rPr>
        <w:t>a autonomia funcional, administrativa e orçamentária inserida no §2º do artigo 134 da Constituição Federal;</w:t>
      </w:r>
    </w:p>
    <w:p>
      <w:pPr>
        <w:pStyle w:val="Normal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color w:val="000000"/>
          <w:sz w:val="20"/>
          <w:szCs w:val="20"/>
        </w:rPr>
        <w:t>CONSIDERANDO</w:t>
      </w:r>
      <w:r>
        <w:rPr>
          <w:color w:val="000000"/>
          <w:sz w:val="20"/>
          <w:szCs w:val="20"/>
        </w:rPr>
        <w:t xml:space="preserve"> o disposto no artigo 5º da Ordem de Serviço nº 13/2020;</w:t>
      </w:r>
    </w:p>
    <w:p>
      <w:pPr>
        <w:pStyle w:val="Normal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rPr/>
      </w:pPr>
      <w:r>
        <w:rPr>
          <w:b/>
          <w:sz w:val="20"/>
          <w:szCs w:val="20"/>
        </w:rPr>
        <w:t>DETERMINA:</w:t>
      </w:r>
    </w:p>
    <w:p>
      <w:pPr>
        <w:pStyle w:val="Normal"/>
        <w:widowControl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>Art. 1°</w:t>
      </w:r>
      <w:r>
        <w:rPr>
          <w:sz w:val="20"/>
          <w:szCs w:val="20"/>
        </w:rPr>
        <w:t xml:space="preserve"> Fica estabelecido o sistema diferenciado de atendimento nas </w:t>
      </w:r>
      <w:bookmarkStart w:id="0" w:name="__DdeLink__3894_1003394881"/>
      <w:r>
        <w:rPr>
          <w:sz w:val="20"/>
          <w:szCs w:val="20"/>
        </w:rPr>
        <w:t>Defensorias Públicas Especializadas em Ajuizamento (UCAA)</w:t>
      </w:r>
      <w:bookmarkEnd w:id="0"/>
      <w:r>
        <w:rPr>
          <w:sz w:val="20"/>
          <w:szCs w:val="20"/>
        </w:rPr>
        <w:t xml:space="preserve"> de Porto Alegre, a vigorar por prazo indeterminado, nos termos da Ordem de Serviço nº 13/2020, com a retomada das atividades a partir do dia 15 de junho de 2020. 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>Art. 2º</w:t>
      </w:r>
      <w:r>
        <w:rPr>
          <w:sz w:val="20"/>
          <w:szCs w:val="20"/>
        </w:rPr>
        <w:t xml:space="preserve"> As Defensorias Públicas Especializadas em Ajuizamento (UCAA) de Porto Alegre retomarão os atendimentos priorizando-se os retornos e os ajuizamentos já agendados, disponibilizando, ainda, horários para o atendimento de novas demandas.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sz w:val="20"/>
          <w:szCs w:val="20"/>
        </w:rPr>
        <w:t>§ 1º As Defensorias Públicas farão escala de atendimento em acordo com a Diretoria Regional, observadas as matérias, nos mesmos turnos de atendimentos da escala ordinária, em número equivalente à metade do quantitativo anterior.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sz w:val="20"/>
          <w:szCs w:val="20"/>
        </w:rPr>
        <w:t>§ 2º O agendamento e a triagem permanecem sendo realizados por meio exclusivamente remoto.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sz w:val="20"/>
          <w:szCs w:val="20"/>
        </w:rPr>
        <w:t>§ 3º No dia e horário agendado, o Defensor Público e/ou sua equipe fará contato telefônico com assistido para a realização do atendimento.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sz w:val="20"/>
          <w:szCs w:val="20"/>
        </w:rPr>
        <w:t>§ 4º A impossibilidade de contato com o assistido corresponde ao não comparecimento, cabendo ao Defensor Público registrar no Portal da Defensoria e comunicar o fato à equipe administrativa para a devida compensação.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sz w:val="20"/>
          <w:szCs w:val="20"/>
        </w:rPr>
        <w:t>§ 5º O atendimento presencial limitado deverá ser reservado às hipóteses em que o atendimento remoto restar inviabilizado e não poderá ultrapassar o número de 10 (dez) assistidos por dia, por Defensoria Pública, permitido, se necessário, o revezamento dos dias de atendimento entre as Defensorias, observado o intervalo de 30 (trinta) minutos entre os agendamentos, mediante prévia escala elaborada com a Diretoria Regional.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 xml:space="preserve">Art. 3º </w:t>
      </w:r>
      <w:r>
        <w:rPr>
          <w:sz w:val="20"/>
          <w:szCs w:val="20"/>
        </w:rPr>
        <w:t>As urgências e medidas cautelares serão atendidas mediante rodízio diário entre as Defensorias Públicas com atribuição na matéria e no respectivo turno.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>Art. 4º</w:t>
      </w:r>
      <w:r>
        <w:rPr>
          <w:sz w:val="20"/>
          <w:szCs w:val="20"/>
        </w:rPr>
        <w:t xml:space="preserve"> Não serão ajuizadas demandas relativas a inventário e usucapião, salvo eventual urgência, a critério do Defensor Público.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>Art. 5º</w:t>
      </w:r>
      <w:r>
        <w:rPr>
          <w:sz w:val="20"/>
          <w:szCs w:val="20"/>
        </w:rPr>
        <w:t xml:space="preserve"> A equipe administrativa ficará responsável pelos agendamentos e atendimentos eletrônicos, mediante orientação da Diretora Regional.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>Art. 6º</w:t>
      </w:r>
      <w:r>
        <w:rPr>
          <w:sz w:val="20"/>
          <w:szCs w:val="20"/>
        </w:rPr>
        <w:t xml:space="preserve"> Durante o período em que vigorar o sistema diferenciado de atendimento, se o município de Porto Alegre estiver classificado com bandeira vermelha ou preta, o atendimento será realizado de forma remota, vedado o presencial, exceto para os casos de extrema urgência, a critério do Defensor Público. </w:t>
      </w:r>
      <w:bookmarkStart w:id="1" w:name="__DdeLink__556_3272558324"/>
      <w:r>
        <w:rPr>
          <w:rFonts w:ascii="ArialMT" w:hAnsi="ArialMT"/>
          <w:color w:val="EE1C24"/>
          <w:sz w:val="20"/>
          <w:szCs w:val="20"/>
        </w:rPr>
        <w:t xml:space="preserve">[Alterado pela Ordem de </w:t>
      </w:r>
      <w:r>
        <w:rPr>
          <w:rFonts w:ascii="ArialMT" w:hAnsi="ArialMT"/>
          <w:color w:val="EE1C24"/>
          <w:sz w:val="20"/>
        </w:rPr>
        <w:t>Serviço nº 16/2020]</w:t>
      </w:r>
      <w:bookmarkEnd w:id="1"/>
    </w:p>
    <w:p>
      <w:pPr>
        <w:pStyle w:val="Normal"/>
        <w:widowControl/>
        <w:rPr>
          <w:sz w:val="20"/>
          <w:szCs w:val="20"/>
        </w:rPr>
      </w:pPr>
      <w:r>
        <w:rPr/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  <w:t>Parágrafo único. Caso o assistido não possua todos os documentos para o imediato ajuizamento da ação e se a situação não for urgente, deve o Defensor Público orientá-lo acerca das medidas do distanciamento controlado, a fim de que levante toda a documentação e busque novo atendimento somente após a mudança da bandeira.</w:t>
      </w:r>
      <w:r>
        <w:rPr>
          <w:rFonts w:ascii="ArialMT" w:hAnsi="ArialMT"/>
          <w:color w:val="EE1C24"/>
          <w:sz w:val="20"/>
          <w:szCs w:val="20"/>
        </w:rPr>
        <w:t>[</w:t>
      </w:r>
      <w:r>
        <w:rPr>
          <w:rFonts w:ascii="ArialMT" w:hAnsi="ArialMT"/>
          <w:color w:val="EE1C24"/>
          <w:sz w:val="20"/>
          <w:szCs w:val="20"/>
        </w:rPr>
        <w:t>Incluído</w:t>
      </w:r>
      <w:r>
        <w:rPr>
          <w:rFonts w:ascii="ArialMT" w:hAnsi="ArialMT"/>
          <w:color w:val="EE1C24"/>
          <w:sz w:val="20"/>
          <w:szCs w:val="20"/>
        </w:rPr>
        <w:t xml:space="preserve"> pela Ordem de Serviço nº 16/2020]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 xml:space="preserve">Art. 7º </w:t>
      </w:r>
      <w:bookmarkStart w:id="2" w:name="__DdeLink__3619_1003394881"/>
      <w:r>
        <w:rPr>
          <w:sz w:val="20"/>
          <w:szCs w:val="20"/>
        </w:rPr>
        <w:t>Aplicam-se, no que couber, as disposições</w:t>
      </w:r>
      <w:bookmarkEnd w:id="2"/>
      <w:r>
        <w:rPr>
          <w:sz w:val="20"/>
          <w:szCs w:val="20"/>
        </w:rPr>
        <w:t xml:space="preserve"> da Ordem de Serviço nº 13/2020.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 xml:space="preserve">Art. 8º </w:t>
      </w:r>
      <w:r>
        <w:rPr>
          <w:sz w:val="20"/>
          <w:szCs w:val="20"/>
        </w:rPr>
        <w:t>Os casos omissos e as situações excepcionais serão submetidas à apreciação da Subdefensoria Pública-Geral para Assuntos Institucionais.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 xml:space="preserve">Art. 9º </w:t>
      </w:r>
      <w:r>
        <w:rPr>
          <w:sz w:val="20"/>
          <w:szCs w:val="20"/>
        </w:rPr>
        <w:t>Esta Ordem de Serviço entra em vigor na data de sua publicação.</w:t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b/>
          <w:bCs/>
          <w:sz w:val="20"/>
          <w:szCs w:val="20"/>
        </w:rPr>
        <w:t>Registre-se.</w:t>
        <w:br/>
        <w:t>Publique-se.</w:t>
      </w:r>
      <w:r>
        <w:rPr>
          <w:sz w:val="20"/>
          <w:szCs w:val="20"/>
        </w:rPr>
        <w:br/>
      </w:r>
    </w:p>
    <w:p>
      <w:pPr>
        <w:pStyle w:val="Normal"/>
        <w:widowControl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/>
      </w:pPr>
      <w:r>
        <w:rPr>
          <w:sz w:val="20"/>
          <w:szCs w:val="20"/>
        </w:rPr>
        <w:t>Porto Alegre, 05 de junho de 2020.</w:t>
      </w:r>
    </w:p>
    <w:p>
      <w:pPr>
        <w:pStyle w:val="Normal"/>
        <w:widowControl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/>
        <w:rPr/>
      </w:pPr>
      <w:r>
        <w:rPr>
          <w:b/>
          <w:sz w:val="21"/>
          <w:szCs w:val="21"/>
        </w:rPr>
        <w:t>ANTONIO FLÁVIO DE OLIVEIRA,</w:t>
      </w:r>
    </w:p>
    <w:p>
      <w:pPr>
        <w:pStyle w:val="Normal"/>
        <w:widowControl/>
        <w:rPr/>
      </w:pPr>
      <w:r>
        <w:rPr>
          <w:b/>
          <w:sz w:val="21"/>
          <w:szCs w:val="21"/>
        </w:rPr>
        <w:t>Defensor Público-</w:t>
      </w:r>
      <w:r>
        <w:rPr>
          <w:b/>
          <w:color w:val="000000"/>
          <w:sz w:val="21"/>
          <w:szCs w:val="21"/>
        </w:rPr>
        <w:t>Geral do Estado.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84" w:top="1418" w:footer="284" w:bottom="127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roman"/>
    <w:pitch w:val="default"/>
  </w:font>
  <w:font w:name="Garamond">
    <w:charset w:val="01"/>
    <w:family w:val="roman"/>
    <w:pitch w:val="default"/>
  </w:font>
  <w:font w:name="Georgia">
    <w:charset w:val="01"/>
    <w:family w:val="roman"/>
    <w:pitch w:val="default"/>
  </w:font>
  <w:font w:name="ArialMT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ind w:right="360" w:hanging="0"/>
      <w:rPr>
        <w:rFonts w:ascii="Calibri" w:hAnsi="Calibri" w:eastAsia="Calibri" w:cs="Calibri"/>
        <w:color w:val="666666"/>
        <w:sz w:val="18"/>
        <w:szCs w:val="18"/>
      </w:rPr>
    </w:pPr>
    <w:r>
      <w:rPr>
        <w:rFonts w:eastAsia="Calibri" w:cs="Calibri" w:ascii="Calibri" w:hAnsi="Calibri"/>
        <w:color w:val="666666"/>
        <w:sz w:val="18"/>
        <w:szCs w:val="18"/>
      </w:rPr>
    </w:r>
  </w:p>
  <w:tbl>
    <w:tblPr>
      <w:tblStyle w:val="a0"/>
      <w:tblW w:w="9493" w:type="dxa"/>
      <w:jc w:val="left"/>
      <w:tblInd w:w="-108" w:type="dxa"/>
      <w:tblBorders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4747"/>
      <w:gridCol w:w="4745"/>
    </w:tblGrid>
    <w:tr>
      <w:trPr/>
      <w:tc>
        <w:tcPr>
          <w:tcW w:w="4747" w:type="dxa"/>
          <w:tcBorders/>
          <w:shd w:fill="auto" w:val="clear"/>
        </w:tcPr>
        <w:p>
          <w:pPr>
            <w:pStyle w:val="Normal"/>
            <w:widowControl/>
            <w:rPr>
              <w:rFonts w:ascii="Calibri" w:hAnsi="Calibri" w:eastAsia="Calibri" w:cs="Calibri"/>
              <w:color w:val="000000"/>
              <w:sz w:val="22"/>
              <w:szCs w:val="22"/>
            </w:rPr>
          </w:pPr>
          <w:r>
            <w:rPr>
              <w:rFonts w:eastAsia="Calibri" w:cs="Calibri" w:ascii="Calibri" w:hAnsi="Calibri"/>
              <w:b/>
              <w:color w:val="666666"/>
              <w:sz w:val="18"/>
              <w:szCs w:val="18"/>
            </w:rPr>
            <w:t>DEFENSORIA PÚBLICA-GERAL DO ESTADO</w:t>
          </w:r>
          <w:r>
            <w:rPr>
              <w:rFonts w:eastAsia="Calibri" w:cs="Calibri" w:ascii="Calibri" w:hAnsi="Calibri"/>
              <w:color w:val="666666"/>
              <w:sz w:val="18"/>
              <w:szCs w:val="18"/>
            </w:rPr>
            <w:tab/>
            <w:tab/>
          </w:r>
        </w:p>
        <w:p>
          <w:pPr>
            <w:pStyle w:val="Normal"/>
            <w:widowControl/>
            <w:rPr>
              <w:rFonts w:ascii="Calibri" w:hAnsi="Calibri" w:eastAsia="Calibri" w:cs="Calibri"/>
              <w:color w:val="666666"/>
              <w:sz w:val="18"/>
              <w:szCs w:val="18"/>
            </w:rPr>
          </w:pPr>
          <w:r>
            <w:rPr>
              <w:rFonts w:eastAsia="Calibri" w:cs="Calibri" w:ascii="Calibri" w:hAnsi="Calibri"/>
              <w:color w:val="666666"/>
              <w:sz w:val="18"/>
              <w:szCs w:val="18"/>
            </w:rPr>
            <w:t>Rua Sete de Setembro, 666, 10º andar</w:t>
          </w:r>
        </w:p>
        <w:p>
          <w:pPr>
            <w:pStyle w:val="Normal"/>
            <w:widowControl/>
            <w:rPr>
              <w:rFonts w:ascii="Calibri" w:hAnsi="Calibri" w:eastAsia="Calibri" w:cs="Calibri"/>
              <w:color w:val="666666"/>
              <w:sz w:val="18"/>
              <w:szCs w:val="18"/>
            </w:rPr>
          </w:pPr>
          <w:r>
            <w:rPr>
              <w:rFonts w:eastAsia="Calibri" w:cs="Calibri" w:ascii="Calibri" w:hAnsi="Calibri"/>
              <w:color w:val="666666"/>
              <w:sz w:val="18"/>
              <w:szCs w:val="18"/>
            </w:rPr>
            <w:t>Centro Histórico – Porto Alegre/RS</w:t>
          </w:r>
        </w:p>
        <w:p>
          <w:pPr>
            <w:pStyle w:val="Normal"/>
            <w:widowControl/>
            <w:rPr>
              <w:rFonts w:ascii="Calibri" w:hAnsi="Calibri" w:eastAsia="Calibri" w:cs="Calibri"/>
              <w:color w:val="666666"/>
              <w:sz w:val="18"/>
              <w:szCs w:val="18"/>
            </w:rPr>
          </w:pPr>
          <w:r>
            <w:rPr>
              <w:rFonts w:eastAsia="Calibri" w:cs="Calibri" w:ascii="Calibri" w:hAnsi="Calibri"/>
              <w:color w:val="666666"/>
              <w:sz w:val="18"/>
              <w:szCs w:val="18"/>
            </w:rPr>
            <w:t>Brasil – CEP: 90010-190</w:t>
          </w:r>
        </w:p>
        <w:p>
          <w:pPr>
            <w:pStyle w:val="Normal"/>
            <w:widowControl/>
            <w:ind w:right="360" w:hanging="0"/>
            <w:rPr>
              <w:rFonts w:ascii="Calibri" w:hAnsi="Calibri" w:eastAsia="Calibri" w:cs="Calibri"/>
              <w:color w:val="666666"/>
              <w:sz w:val="18"/>
              <w:szCs w:val="18"/>
            </w:rPr>
          </w:pPr>
          <w:r>
            <w:rPr>
              <w:rFonts w:eastAsia="Calibri" w:cs="Calibri" w:ascii="Calibri" w:hAnsi="Calibri"/>
              <w:color w:val="666666"/>
              <w:sz w:val="18"/>
              <w:szCs w:val="18"/>
            </w:rPr>
            <w:t>Telefone: (0xx51) 3210-9415</w:t>
          </w:r>
        </w:p>
      </w:tc>
      <w:tc>
        <w:tcPr>
          <w:tcW w:w="4745" w:type="dxa"/>
          <w:tcBorders/>
          <w:shd w:fill="auto" w:val="clear"/>
        </w:tcPr>
        <w:p>
          <w:pPr>
            <w:pStyle w:val="Normal"/>
            <w:widowControl/>
            <w:ind w:right="-78" w:hanging="0"/>
            <w:jc w:val="right"/>
            <w:rPr>
              <w:rFonts w:ascii="Calibri" w:hAnsi="Calibri" w:eastAsia="Calibri" w:cs="Calibri"/>
              <w:color w:val="000000"/>
              <w:sz w:val="22"/>
              <w:szCs w:val="22"/>
            </w:rPr>
          </w:pPr>
          <w:r>
            <w:rPr/>
            <w:drawing>
              <wp:inline distT="0" distB="0" distL="0" distR="0">
                <wp:extent cx="1956435" cy="79375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3" t="17019" r="-4109" b="21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widowControl/>
      <w:ind w:right="360" w:hanging="0"/>
      <w:jc w:val="center"/>
      <w:rPr/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left"/>
      <w:rPr/>
    </w:pPr>
    <w:r>
      <w:rPr/>
    </w:r>
  </w:p>
  <w:tbl>
    <w:tblPr>
      <w:tblStyle w:val="a"/>
      <w:tblW w:w="964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3727"/>
      <w:gridCol w:w="2167"/>
      <w:gridCol w:w="3751"/>
    </w:tblGrid>
    <w:tr>
      <w:trPr/>
      <w:tc>
        <w:tcPr>
          <w:tcW w:w="3727" w:type="dxa"/>
          <w:tcBorders/>
          <w:shd w:fill="auto" w:val="clear"/>
        </w:tcPr>
        <w:p>
          <w:pPr>
            <w:pStyle w:val="Normal"/>
            <w:jc w:val="center"/>
            <w:rPr>
              <w:rFonts w:ascii="Garamond" w:hAnsi="Garamond" w:eastAsia="Garamond" w:cs="Garamond"/>
              <w:color w:val="000000"/>
            </w:rPr>
          </w:pPr>
          <w:r>
            <w:rPr>
              <w:rFonts w:eastAsia="Garamond" w:cs="Garamond" w:ascii="Garamond" w:hAnsi="Garamond"/>
              <w:color w:val="000000"/>
            </w:rPr>
          </w:r>
        </w:p>
      </w:tc>
      <w:tc>
        <w:tcPr>
          <w:tcW w:w="2167" w:type="dxa"/>
          <w:tcBorders/>
          <w:shd w:fill="auto" w:val="clear"/>
        </w:tcPr>
        <w:p>
          <w:pPr>
            <w:pStyle w:val="Normal"/>
            <w:jc w:val="center"/>
            <w:rPr>
              <w:rFonts w:ascii="Garamond" w:hAnsi="Garamond" w:eastAsia="Garamond" w:cs="Garamond"/>
              <w:color w:val="000000"/>
            </w:rPr>
          </w:pPr>
          <w:r>
            <w:rPr/>
            <w:drawing>
              <wp:inline distT="0" distB="0" distL="0" distR="0">
                <wp:extent cx="1343025" cy="115252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3" t="-73" r="-63" b="-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tcBorders/>
          <w:shd w:fill="auto" w:val="clear"/>
        </w:tcPr>
        <w:p>
          <w:pPr>
            <w:pStyle w:val="Contedodatabela"/>
            <w:jc w:val="right"/>
            <w:rPr>
              <w:rFonts w:ascii="Arial" w:hAnsi="Arial"/>
              <w:color w:val="FF0000"/>
              <w:sz w:val="20"/>
              <w:szCs w:val="20"/>
            </w:rPr>
          </w:pPr>
          <w:r>
            <w:rPr>
              <w:rFonts w:ascii="Arial" w:hAnsi="Arial"/>
              <w:color w:val="FF0000"/>
              <w:sz w:val="20"/>
              <w:szCs w:val="20"/>
            </w:rPr>
          </w:r>
        </w:p>
        <w:p>
          <w:pPr>
            <w:pStyle w:val="Contedodatabela"/>
            <w:jc w:val="right"/>
            <w:rPr>
              <w:rFonts w:ascii="Arial" w:hAnsi="Arial"/>
              <w:color w:val="FF0000"/>
              <w:sz w:val="20"/>
              <w:szCs w:val="20"/>
            </w:rPr>
          </w:pPr>
          <w:r>
            <w:rPr/>
          </w:r>
        </w:p>
        <w:p>
          <w:pPr>
            <w:pStyle w:val="Contedodatabela"/>
            <w:jc w:val="right"/>
            <w:rPr/>
          </w:pPr>
          <w:r>
            <w:rPr>
              <w:rFonts w:ascii="Arial" w:hAnsi="Arial"/>
              <w:color w:val="FF0000"/>
              <w:sz w:val="20"/>
              <w:szCs w:val="20"/>
            </w:rPr>
            <w:t xml:space="preserve">Publicado no DED de </w:t>
          </w:r>
          <w:r>
            <w:rPr>
              <w:rFonts w:ascii="Arial" w:hAnsi="Arial"/>
              <w:color w:val="FF0000"/>
              <w:sz w:val="20"/>
              <w:szCs w:val="20"/>
            </w:rPr>
            <w:t>08</w:t>
          </w:r>
          <w:r>
            <w:rPr>
              <w:rFonts w:ascii="Arial" w:hAnsi="Arial"/>
              <w:color w:val="FF0000"/>
              <w:sz w:val="20"/>
              <w:szCs w:val="20"/>
            </w:rPr>
            <w:t>/0</w:t>
          </w:r>
          <w:r>
            <w:rPr>
              <w:rFonts w:ascii="Arial" w:hAnsi="Arial"/>
              <w:color w:val="FF0000"/>
              <w:sz w:val="20"/>
              <w:szCs w:val="20"/>
            </w:rPr>
            <w:t>6</w:t>
          </w:r>
          <w:r>
            <w:rPr>
              <w:rFonts w:ascii="Arial" w:hAnsi="Arial"/>
              <w:color w:val="FF0000"/>
              <w:sz w:val="20"/>
              <w:szCs w:val="20"/>
            </w:rPr>
            <w:t>/2020.</w:t>
          </w:r>
        </w:p>
        <w:p>
          <w:pPr>
            <w:pStyle w:val="Contedodatabela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</w:r>
        </w:p>
        <w:p>
          <w:pPr>
            <w:pStyle w:val="Contedodatabela"/>
            <w:jc w:val="right"/>
            <w:rPr/>
          </w:pPr>
          <w:r>
            <w:rPr>
              <w:rFonts w:ascii="Arial" w:hAnsi="Arial"/>
              <w:color w:val="0369A3"/>
              <w:sz w:val="20"/>
              <w:szCs w:val="20"/>
            </w:rPr>
            <w:t>Texto Consolidado até a</w:t>
          </w:r>
        </w:p>
        <w:p>
          <w:pPr>
            <w:pStyle w:val="Contedodatabela"/>
            <w:jc w:val="right"/>
            <w:rPr>
              <w:color w:val="0369A3"/>
              <w:sz w:val="20"/>
              <w:szCs w:val="20"/>
            </w:rPr>
          </w:pPr>
          <w:r>
            <w:rPr>
              <w:rFonts w:ascii="Arial" w:hAnsi="Arial"/>
              <w:color w:val="0369A3"/>
              <w:sz w:val="20"/>
              <w:szCs w:val="20"/>
            </w:rPr>
            <w:t>Ordem de Serviço nº 16/2020.</w:t>
          </w:r>
        </w:p>
      </w:tc>
    </w:tr>
  </w:tbl>
  <w:p>
    <w:pPr>
      <w:pStyle w:val="Normal"/>
      <w:widowControl/>
      <w:jc w:val="center"/>
      <w:rPr>
        <w:rFonts w:ascii="Times New Roman" w:hAnsi="Times New Roman" w:eastAsia="Times New Roman" w:cs="Times New Roman"/>
        <w:b/>
        <w:b/>
        <w:color w:val="000000"/>
        <w:sz w:val="22"/>
        <w:szCs w:val="22"/>
      </w:rPr>
    </w:pPr>
    <w:r>
      <w:rPr>
        <w:rFonts w:eastAsia="Times New Roman" w:cs="Times New Roman" w:ascii="Times New Roman" w:hAnsi="Times New Roman"/>
        <w:b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widowControl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widowControl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00"/>
      <w:sz w:val="20"/>
      <w:szCs w:val="20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  <w:sz w:val="20"/>
      <w:szCs w:val="20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Garamond" w:hAnsi="Garamond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ascii="Garamond" w:hAnsi="Garamond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Garamond" w:hAnsi="Garamond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Garamond" w:hAnsi="Garamond"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  <w:jc w:val="left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widowControl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  <w:suppressAutoHyphens w:val="true"/>
      <w:jc w:val="left"/>
      <w:textAlignment w:val="baseline"/>
    </w:pPr>
    <w:rPr>
      <w:rFonts w:ascii="Garamond" w:hAnsi="Garamond" w:eastAsia="SimSun" w:cs="Mangal"/>
      <w:kern w:val="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LibreOffice/6.0.6.2$Windows_X86_64 LibreOffice_project/0c292870b25a325b5ed35f6b45599d2ea4458e77</Application>
  <Pages>2</Pages>
  <Words>640</Words>
  <Characters>3585</Characters>
  <CharactersWithSpaces>4197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2020-05-19T16:07:00Z</dcterms:created>
  <dc:creator/>
  <dc:description/>
  <dc:language>pt-BR</dc:language>
  <cp:lastModifiedBy/>
  <dcterms:modified xsi:type="dcterms:W3CDTF">2020-06-23T17:37:12Z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